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12FA">
      <w:pPr>
        <w:jc w:val="center"/>
        <w:rPr>
          <w:rFonts w:hint="eastAsia" w:eastAsia="宋体"/>
          <w:u w:val="single"/>
          <w:lang w:val="en-US" w:eastAsia="zh-CN"/>
        </w:rPr>
      </w:pPr>
      <w:r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  <w:t>科室：</w:t>
      </w:r>
      <w:r>
        <w:rPr>
          <w:rFonts w:ascii="宋体" w:hAnsi="宋体" w:eastAsia="宋体" w:cs="宋体"/>
          <w:sz w:val="24"/>
          <w:szCs w:val="24"/>
        </w:rPr>
        <w:t xml:space="preserve">__________ </w:t>
      </w:r>
      <w:r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  <w:t>姓名：</w:t>
      </w:r>
      <w:r>
        <w:rPr>
          <w:rFonts w:ascii="宋体" w:hAnsi="宋体" w:eastAsia="宋体" w:cs="宋体"/>
          <w:sz w:val="24"/>
          <w:szCs w:val="24"/>
        </w:rPr>
        <w:t xml:space="preserve">__________ </w:t>
      </w:r>
      <w:r>
        <w:rPr>
          <w:rStyle w:val="4"/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日期</w:t>
      </w:r>
      <w:r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__________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</w:t>
      </w:r>
      <w:r>
        <w:rPr>
          <w:rStyle w:val="4"/>
          <w:rFonts w:ascii="宋体" w:hAnsi="宋体" w:eastAsia="宋体" w:cs="宋体"/>
          <w:b/>
          <w:bCs/>
          <w:color w:val="000000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__________</w:t>
      </w:r>
    </w:p>
    <w:p w14:paraId="1AF7AB2D"/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5823"/>
        <w:gridCol w:w="572"/>
        <w:gridCol w:w="1106"/>
      </w:tblGrid>
      <w:tr w14:paraId="0C20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65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F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操作流程及评分标准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0D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1F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扣分及原因</w:t>
            </w:r>
          </w:p>
        </w:tc>
      </w:tr>
      <w:tr w14:paraId="7F11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7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准备物品</w:t>
            </w:r>
          </w:p>
          <w:p w14:paraId="50B9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3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着装整洁，修剪指甲（做不到不得分）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用物准备：肥皂液或手消毒液、毛巾或纸巾、非手触式流动水设备（少一项扣 2 分）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2F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  <w:p w14:paraId="13567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5D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4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D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操作流程</w:t>
            </w:r>
          </w:p>
          <w:p w14:paraId="0064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 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取下手表、卷起衣袖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2E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E0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C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51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B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流动水下冲洗双手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CF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C25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2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A7B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2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取肥皂液或手消毒液于手中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D6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F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1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F1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双手揉搓洗手程序：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（1）掌心相对，手指并拢相互揉搓；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（2）掌心对手背沿指缝相互揉搓，交换进行；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（3）掌心相对，双手交叉沿指缝相互揉搓；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（4）弯曲手指关节在另一掌心旋揉搓，交换进行；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（5）一手握另一手大拇指旋转揉搓，交换进行；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（6）五个手指尖并拢在另一掌心中旋转动揉搓，交换进行；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（7）螺旋式揉搓双手腕部，交换进行（少一步扣 5 分）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07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A9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3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A4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FD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每步骤时间不少于 15s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ED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8F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9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11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7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若使用肥皂液，流动水彻底冲洗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25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3E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9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46D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B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擦干双手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A9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18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4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37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D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关闭水龙头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39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42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3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E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</w:t>
            </w:r>
          </w:p>
          <w:p w14:paraId="1B7D8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03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洗手方法正确，手各部位清洗干净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2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E4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2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6D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FF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指甲、指尖、指缝和指关节污染的部位洁净，手部不佩戴戒指等饰物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5D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90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6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41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B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洗手水流不污染环境（做不到扣 5 分）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2B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15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D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8F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5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使用一次性纸巾、毛巾擦手，毛巾用后消毒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A2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096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E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AA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E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洗手后，手不能检出致病微生物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1C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4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E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49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C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手未受到患者体液等污染时，可用速消剂代替洗手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9D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47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71367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93C94"/>
    <w:rsid w:val="51823AD2"/>
    <w:rsid w:val="5430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528</Characters>
  <Lines>0</Lines>
  <Paragraphs>0</Paragraphs>
  <TotalTime>1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2026-02-10T08:03:00Z</dcterms:created>
  <dc:creator>kingc</dc:creator>
  <cp:lastModifiedBy>叫声小鱼我就来</cp:lastModifiedBy>
  <dcterms:modified xsi:type="dcterms:W3CDTF">2026-02-10T12:09:32Z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eyJoZGlkIjoiMzEwNTM5NzYwMDRjMzkwZTVkZjY2ODkwMGIxNGU0OTUiLCJ1c2VySWQiOiIyNTE1MDgyMzEifQ==</vt:lpwstr>
  </property>
  <property fmtid="{D5CDD505-2E9C-101B-9397-08002B2CF9AE}" pid="4" name="ICV">
    <vt:lpwstr>EBA51A024318420BA34193D21687360D_12</vt:lpwstr>
  </property>
</Properties>
</file>